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07640" w14:textId="77777777" w:rsidR="00937220" w:rsidRDefault="00937220" w:rsidP="00937220">
      <w:pPr>
        <w:pStyle w:val="Heading2"/>
        <w:spacing w:line="251" w:lineRule="exact"/>
        <w:ind w:right="385"/>
      </w:pPr>
      <w:r>
        <w:t>Attachment</w:t>
      </w:r>
      <w:r>
        <w:rPr>
          <w:spacing w:val="-8"/>
        </w:rPr>
        <w:t xml:space="preserve"> </w:t>
      </w:r>
      <w:r>
        <w:t>10</w:t>
      </w:r>
      <w:r>
        <w:rPr>
          <w:spacing w:val="-5"/>
        </w:rPr>
        <w:t xml:space="preserve"> </w:t>
      </w:r>
      <w:r>
        <w:t>to</w:t>
      </w:r>
      <w:r>
        <w:rPr>
          <w:spacing w:val="-5"/>
        </w:rPr>
        <w:t xml:space="preserve"> </w:t>
      </w:r>
      <w:r>
        <w:t>the</w:t>
      </w:r>
      <w:r>
        <w:rPr>
          <w:spacing w:val="-5"/>
        </w:rPr>
        <w:t xml:space="preserve"> </w:t>
      </w:r>
      <w:r>
        <w:t>Application</w:t>
      </w:r>
      <w:r>
        <w:rPr>
          <w:spacing w:val="-5"/>
        </w:rPr>
        <w:t xml:space="preserve"> </w:t>
      </w:r>
      <w:r>
        <w:t>to</w:t>
      </w:r>
      <w:r>
        <w:rPr>
          <w:spacing w:val="-5"/>
        </w:rPr>
        <w:t xml:space="preserve"> </w:t>
      </w:r>
      <w:r>
        <w:t>Tender</w:t>
      </w:r>
      <w:r>
        <w:rPr>
          <w:spacing w:val="-5"/>
        </w:rPr>
        <w:t xml:space="preserve"> </w:t>
      </w:r>
      <w:r>
        <w:rPr>
          <w:spacing w:val="-2"/>
        </w:rPr>
        <w:t>Shares:</w:t>
      </w:r>
    </w:p>
    <w:p w14:paraId="7F254798" w14:textId="77777777" w:rsidR="00937220" w:rsidRDefault="00937220" w:rsidP="00937220">
      <w:pPr>
        <w:spacing w:line="251" w:lineRule="exact"/>
        <w:ind w:right="385"/>
        <w:jc w:val="right"/>
        <w:rPr>
          <w:rFonts w:ascii="Arial"/>
          <w:b/>
          <w:i/>
        </w:rPr>
      </w:pPr>
      <w:r>
        <w:rPr>
          <w:rFonts w:ascii="Arial"/>
          <w:b/>
          <w:i/>
        </w:rPr>
        <w:t>Irrevocable</w:t>
      </w:r>
      <w:r>
        <w:rPr>
          <w:rFonts w:ascii="Arial"/>
          <w:b/>
          <w:i/>
          <w:spacing w:val="-11"/>
        </w:rPr>
        <w:t xml:space="preserve"> </w:t>
      </w:r>
      <w:r>
        <w:rPr>
          <w:rFonts w:ascii="Arial"/>
          <w:b/>
          <w:i/>
          <w:spacing w:val="-2"/>
        </w:rPr>
        <w:t>Proxy</w:t>
      </w:r>
    </w:p>
    <w:p w14:paraId="543883F6" w14:textId="77777777" w:rsidR="00937220" w:rsidRDefault="00937220" w:rsidP="00937220">
      <w:pPr>
        <w:pStyle w:val="BodyText"/>
        <w:spacing w:before="2"/>
        <w:rPr>
          <w:rFonts w:ascii="Arial"/>
          <w:b/>
          <w:i/>
          <w:sz w:val="22"/>
        </w:rPr>
      </w:pPr>
    </w:p>
    <w:p w14:paraId="172B4405" w14:textId="77777777" w:rsidR="00937220" w:rsidRDefault="00937220" w:rsidP="00937220">
      <w:pPr>
        <w:pStyle w:val="Heading1"/>
        <w:spacing w:before="1"/>
        <w:ind w:right="3681"/>
        <w:jc w:val="right"/>
      </w:pPr>
      <w:r>
        <w:t>IRREVOCABLE</w:t>
      </w:r>
      <w:r>
        <w:rPr>
          <w:spacing w:val="-11"/>
        </w:rPr>
        <w:t xml:space="preserve"> </w:t>
      </w:r>
      <w:r>
        <w:rPr>
          <w:spacing w:val="-2"/>
        </w:rPr>
        <w:t>PROXY</w:t>
      </w:r>
    </w:p>
    <w:p w14:paraId="71DD2A83" w14:textId="77777777" w:rsidR="00937220" w:rsidRDefault="00937220" w:rsidP="00937220">
      <w:pPr>
        <w:pStyle w:val="BodyText"/>
        <w:spacing w:before="9"/>
        <w:rPr>
          <w:rFonts w:ascii="Arial"/>
          <w:b/>
          <w:sz w:val="21"/>
        </w:rPr>
      </w:pPr>
    </w:p>
    <w:p w14:paraId="50438F22" w14:textId="71186DAC" w:rsidR="00937220" w:rsidRDefault="00207E38" w:rsidP="00E8140F">
      <w:pPr>
        <w:tabs>
          <w:tab w:val="left" w:pos="7084"/>
        </w:tabs>
        <w:ind w:left="268" w:right="383"/>
        <w:jc w:val="both"/>
      </w:pPr>
      <w:r w:rsidRPr="00207E38">
        <w:rPr>
          <w:rFonts w:ascii="Arial" w:hAnsi="Arial"/>
          <w:b/>
          <w:color w:val="FF0000"/>
        </w:rPr>
        <w:t xml:space="preserve">Juan </w:t>
      </w:r>
      <w:proofErr w:type="spellStart"/>
      <w:r w:rsidRPr="00207E38">
        <w:rPr>
          <w:rFonts w:ascii="Arial" w:hAnsi="Arial"/>
          <w:b/>
          <w:color w:val="FF0000"/>
        </w:rPr>
        <w:t>Dela</w:t>
      </w:r>
      <w:proofErr w:type="spellEnd"/>
      <w:r w:rsidRPr="00207E38">
        <w:rPr>
          <w:rFonts w:ascii="Arial" w:hAnsi="Arial"/>
          <w:b/>
          <w:color w:val="FF0000"/>
        </w:rPr>
        <w:t xml:space="preserve"> Cruz</w:t>
      </w:r>
      <w:r w:rsidR="00E8140F">
        <w:rPr>
          <w:rFonts w:ascii="Arial" w:hAnsi="Arial"/>
          <w:b/>
        </w:rPr>
        <w:t xml:space="preserve">, </w:t>
      </w:r>
      <w:r w:rsidR="00836F81" w:rsidRPr="00207E38">
        <w:rPr>
          <w:rFonts w:ascii="Arial" w:hAnsi="Arial"/>
          <w:bCs/>
          <w:color w:val="FF0000"/>
          <w:spacing w:val="-3"/>
        </w:rPr>
        <w:t>single</w:t>
      </w:r>
      <w:r w:rsidR="00937220">
        <w:t xml:space="preserve">, </w:t>
      </w:r>
      <w:r w:rsidR="00F44EAC" w:rsidRPr="00207E38">
        <w:rPr>
          <w:color w:val="FF0000"/>
        </w:rPr>
        <w:t>Filipino</w:t>
      </w:r>
      <w:r w:rsidR="00F44EAC">
        <w:t xml:space="preserve"> </w:t>
      </w:r>
      <w:r w:rsidR="00937220">
        <w:t>and of legal age</w:t>
      </w:r>
      <w:r w:rsidR="00F44EAC">
        <w:t xml:space="preserve"> </w:t>
      </w:r>
      <w:r w:rsidR="00937220">
        <w:t>with address a</w:t>
      </w:r>
      <w:r w:rsidR="00836F81">
        <w:t>t</w:t>
      </w:r>
      <w:r>
        <w:t xml:space="preserve"> </w:t>
      </w:r>
      <w:r w:rsidRPr="002427F1">
        <w:rPr>
          <w:rFonts w:ascii="ArialMT" w:hAnsi="ArialMT" w:cs="ArialMT"/>
          <w:color w:val="FF0000"/>
        </w:rPr>
        <w:t xml:space="preserve">123 Senator Gil </w:t>
      </w:r>
      <w:proofErr w:type="spellStart"/>
      <w:r w:rsidRPr="002427F1">
        <w:rPr>
          <w:rFonts w:ascii="ArialMT" w:hAnsi="ArialMT" w:cs="ArialMT"/>
          <w:color w:val="FF0000"/>
        </w:rPr>
        <w:t>Puyat</w:t>
      </w:r>
      <w:proofErr w:type="spellEnd"/>
      <w:r w:rsidRPr="002427F1">
        <w:rPr>
          <w:rFonts w:ascii="ArialMT" w:hAnsi="ArialMT" w:cs="ArialMT"/>
          <w:color w:val="FF0000"/>
        </w:rPr>
        <w:t xml:space="preserve"> Ave., Makati City</w:t>
      </w:r>
      <w:r w:rsidR="00937220">
        <w:t xml:space="preserve"> (</w:t>
      </w:r>
      <w:r w:rsidR="00937220">
        <w:rPr>
          <w:rFonts w:ascii="Arial" w:hAnsi="Arial"/>
          <w:b/>
        </w:rPr>
        <w:t>the “Grantor”</w:t>
      </w:r>
      <w:r w:rsidR="00937220">
        <w:t xml:space="preserve">), being the registered owner of </w:t>
      </w:r>
      <w:r w:rsidRPr="00207E38">
        <w:rPr>
          <w:color w:val="FF0000"/>
        </w:rPr>
        <w:t xml:space="preserve">10,000 </w:t>
      </w:r>
      <w:r w:rsidR="00937220">
        <w:t>common</w:t>
      </w:r>
      <w:r w:rsidR="00937220">
        <w:rPr>
          <w:spacing w:val="-14"/>
        </w:rPr>
        <w:t xml:space="preserve"> </w:t>
      </w:r>
      <w:r w:rsidR="00937220">
        <w:t>shares</w:t>
      </w:r>
      <w:r w:rsidR="00937220">
        <w:rPr>
          <w:spacing w:val="-14"/>
        </w:rPr>
        <w:t xml:space="preserve"> </w:t>
      </w:r>
      <w:r w:rsidR="00937220">
        <w:t>of</w:t>
      </w:r>
      <w:r w:rsidR="00937220">
        <w:rPr>
          <w:spacing w:val="-14"/>
        </w:rPr>
        <w:t xml:space="preserve"> </w:t>
      </w:r>
      <w:r w:rsidR="00937220">
        <w:t>the capital stock (</w:t>
      </w:r>
      <w:r w:rsidR="00937220">
        <w:rPr>
          <w:rFonts w:ascii="Arial" w:hAnsi="Arial"/>
          <w:b/>
        </w:rPr>
        <w:t>the “Shares</w:t>
      </w:r>
      <w:r w:rsidR="00937220">
        <w:t xml:space="preserve">”) of </w:t>
      </w:r>
      <w:r w:rsidR="00937220">
        <w:rPr>
          <w:rFonts w:ascii="Arial" w:hAnsi="Arial"/>
          <w:b/>
        </w:rPr>
        <w:t xml:space="preserve">HOLCIM PHILIPPINES, INC. </w:t>
      </w:r>
      <w:r w:rsidR="00937220">
        <w:t>(</w:t>
      </w:r>
      <w:r w:rsidR="00937220">
        <w:rPr>
          <w:rFonts w:ascii="Arial" w:hAnsi="Arial"/>
          <w:b/>
        </w:rPr>
        <w:t>the “Corporation</w:t>
      </w:r>
      <w:r w:rsidR="00937220">
        <w:t xml:space="preserve">”), acting through its authorized representative, hereby irrevocably constitutes and appoints </w:t>
      </w:r>
      <w:r w:rsidR="00937220">
        <w:rPr>
          <w:rFonts w:ascii="Arial" w:hAnsi="Arial"/>
          <w:b/>
        </w:rPr>
        <w:t xml:space="preserve">HOLDERFIN B.V. </w:t>
      </w:r>
      <w:r w:rsidR="00937220">
        <w:t>(</w:t>
      </w:r>
      <w:r w:rsidR="00937220">
        <w:rPr>
          <w:rFonts w:ascii="Arial" w:hAnsi="Arial"/>
          <w:b/>
        </w:rPr>
        <w:t xml:space="preserve">the </w:t>
      </w:r>
      <w:r w:rsidR="00937220">
        <w:t>“</w:t>
      </w:r>
      <w:r w:rsidR="00937220">
        <w:rPr>
          <w:rFonts w:ascii="Arial" w:hAnsi="Arial"/>
          <w:b/>
        </w:rPr>
        <w:t>Buyer</w:t>
      </w:r>
      <w:r w:rsidR="00937220">
        <w:t>”) as its proxy from the date of this instrument and until the transfer of the registration of the Shares from the Grantor to Buyer has been effected in the books</w:t>
      </w:r>
      <w:r w:rsidR="00937220">
        <w:rPr>
          <w:spacing w:val="22"/>
        </w:rPr>
        <w:t xml:space="preserve"> </w:t>
      </w:r>
      <w:r w:rsidR="00937220">
        <w:t>of</w:t>
      </w:r>
      <w:r w:rsidR="00937220">
        <w:rPr>
          <w:spacing w:val="22"/>
        </w:rPr>
        <w:t xml:space="preserve"> </w:t>
      </w:r>
      <w:r w:rsidR="00937220">
        <w:t>the</w:t>
      </w:r>
      <w:r w:rsidR="00937220">
        <w:rPr>
          <w:spacing w:val="22"/>
        </w:rPr>
        <w:t xml:space="preserve"> </w:t>
      </w:r>
      <w:r w:rsidR="00937220">
        <w:t>Corporation</w:t>
      </w:r>
      <w:r w:rsidR="00937220">
        <w:rPr>
          <w:spacing w:val="22"/>
        </w:rPr>
        <w:t xml:space="preserve"> </w:t>
      </w:r>
      <w:r w:rsidR="00937220">
        <w:t>pursuant</w:t>
      </w:r>
      <w:r w:rsidR="00937220">
        <w:rPr>
          <w:spacing w:val="22"/>
        </w:rPr>
        <w:t xml:space="preserve"> </w:t>
      </w:r>
      <w:r w:rsidR="00937220">
        <w:t>to</w:t>
      </w:r>
      <w:r w:rsidR="00937220">
        <w:rPr>
          <w:spacing w:val="22"/>
        </w:rPr>
        <w:t xml:space="preserve"> </w:t>
      </w:r>
      <w:r w:rsidR="00937220">
        <w:t>the</w:t>
      </w:r>
      <w:r w:rsidR="00937220">
        <w:rPr>
          <w:spacing w:val="22"/>
        </w:rPr>
        <w:t xml:space="preserve"> </w:t>
      </w:r>
      <w:r w:rsidR="00937220">
        <w:t>Deed</w:t>
      </w:r>
      <w:r w:rsidR="00937220">
        <w:rPr>
          <w:spacing w:val="22"/>
        </w:rPr>
        <w:t xml:space="preserve"> </w:t>
      </w:r>
      <w:r w:rsidR="00937220">
        <w:t>of</w:t>
      </w:r>
      <w:r w:rsidR="00937220">
        <w:rPr>
          <w:spacing w:val="22"/>
        </w:rPr>
        <w:t xml:space="preserve"> </w:t>
      </w:r>
      <w:r w:rsidR="00937220">
        <w:t>Absolute</w:t>
      </w:r>
      <w:r w:rsidR="00937220">
        <w:rPr>
          <w:spacing w:val="22"/>
        </w:rPr>
        <w:t xml:space="preserve"> </w:t>
      </w:r>
      <w:r w:rsidR="00937220">
        <w:t>Sale</w:t>
      </w:r>
      <w:r w:rsidR="00937220">
        <w:rPr>
          <w:spacing w:val="22"/>
        </w:rPr>
        <w:t xml:space="preserve"> </w:t>
      </w:r>
      <w:r w:rsidR="00937220">
        <w:t>of</w:t>
      </w:r>
      <w:r w:rsidR="00937220">
        <w:rPr>
          <w:spacing w:val="22"/>
        </w:rPr>
        <w:t xml:space="preserve"> </w:t>
      </w:r>
      <w:r w:rsidR="00937220">
        <w:t>Shares</w:t>
      </w:r>
      <w:r w:rsidR="00937220">
        <w:rPr>
          <w:spacing w:val="22"/>
        </w:rPr>
        <w:t xml:space="preserve"> </w:t>
      </w:r>
      <w:r w:rsidR="00937220">
        <w:t>of</w:t>
      </w:r>
      <w:r w:rsidR="00937220">
        <w:rPr>
          <w:spacing w:val="22"/>
        </w:rPr>
        <w:t xml:space="preserve"> </w:t>
      </w:r>
      <w:r w:rsidR="00937220">
        <w:t>Stock</w:t>
      </w:r>
      <w:r w:rsidR="00937220">
        <w:rPr>
          <w:spacing w:val="22"/>
        </w:rPr>
        <w:t xml:space="preserve"> </w:t>
      </w:r>
      <w:r w:rsidR="00937220">
        <w:t>dated</w:t>
      </w:r>
      <w:r w:rsidR="00E8140F">
        <w:t xml:space="preserve"> </w:t>
      </w:r>
      <w:r w:rsidR="00836F81">
        <w:rPr>
          <w:rFonts w:ascii="Arial" w:hAnsi="Arial" w:cs="Arial"/>
        </w:rPr>
        <w:t>____</w:t>
      </w:r>
      <w:r w:rsidRPr="00207E38">
        <w:rPr>
          <w:rFonts w:ascii="Arial" w:hAnsi="Arial" w:cs="Arial"/>
          <w:color w:val="FF0000"/>
          <w:u w:val="single"/>
        </w:rPr>
        <w:t>(leave blank</w:t>
      </w:r>
      <w:r>
        <w:rPr>
          <w:rFonts w:ascii="Arial" w:hAnsi="Arial" w:cs="Arial"/>
          <w:color w:val="FF0000"/>
          <w:u w:val="single"/>
        </w:rPr>
        <w:t>)</w:t>
      </w:r>
      <w:r w:rsidR="00836F81">
        <w:rPr>
          <w:rFonts w:ascii="Arial" w:hAnsi="Arial" w:cs="Arial"/>
        </w:rPr>
        <w:t>____</w:t>
      </w:r>
      <w:r w:rsidR="00937220">
        <w:t>,</w:t>
      </w:r>
      <w:r w:rsidR="00937220">
        <w:rPr>
          <w:spacing w:val="-5"/>
        </w:rPr>
        <w:t xml:space="preserve"> </w:t>
      </w:r>
      <w:r w:rsidR="00937220">
        <w:t>with</w:t>
      </w:r>
      <w:r w:rsidR="00937220">
        <w:rPr>
          <w:spacing w:val="-6"/>
        </w:rPr>
        <w:t xml:space="preserve"> </w:t>
      </w:r>
      <w:r w:rsidR="00937220">
        <w:t>full</w:t>
      </w:r>
      <w:r w:rsidR="00937220">
        <w:rPr>
          <w:spacing w:val="-5"/>
        </w:rPr>
        <w:t xml:space="preserve"> </w:t>
      </w:r>
      <w:r w:rsidR="00937220">
        <w:t>power</w:t>
      </w:r>
      <w:r w:rsidR="00937220">
        <w:rPr>
          <w:spacing w:val="-6"/>
        </w:rPr>
        <w:t xml:space="preserve"> </w:t>
      </w:r>
      <w:r w:rsidR="00937220">
        <w:t>of</w:t>
      </w:r>
      <w:r w:rsidR="00937220">
        <w:rPr>
          <w:spacing w:val="-5"/>
        </w:rPr>
        <w:t xml:space="preserve"> </w:t>
      </w:r>
      <w:r w:rsidR="00937220">
        <w:t>substitution,</w:t>
      </w:r>
      <w:r w:rsidR="00937220">
        <w:rPr>
          <w:spacing w:val="-5"/>
        </w:rPr>
        <w:t xml:space="preserve"> </w:t>
      </w:r>
      <w:r w:rsidR="00937220">
        <w:t>to</w:t>
      </w:r>
      <w:r w:rsidR="00937220">
        <w:rPr>
          <w:spacing w:val="-6"/>
        </w:rPr>
        <w:t xml:space="preserve"> </w:t>
      </w:r>
      <w:r w:rsidR="00937220">
        <w:t>vote</w:t>
      </w:r>
      <w:r w:rsidR="00937220">
        <w:rPr>
          <w:spacing w:val="-6"/>
        </w:rPr>
        <w:t xml:space="preserve"> </w:t>
      </w:r>
      <w:r w:rsidR="00937220">
        <w:t>the</w:t>
      </w:r>
      <w:r w:rsidR="00937220">
        <w:rPr>
          <w:spacing w:val="-6"/>
        </w:rPr>
        <w:t xml:space="preserve"> </w:t>
      </w:r>
      <w:r w:rsidR="00937220">
        <w:t>Shares</w:t>
      </w:r>
      <w:r w:rsidR="00937220">
        <w:rPr>
          <w:spacing w:val="-6"/>
        </w:rPr>
        <w:t xml:space="preserve"> </w:t>
      </w:r>
      <w:r w:rsidR="00937220">
        <w:t>in</w:t>
      </w:r>
      <w:r w:rsidR="00937220">
        <w:rPr>
          <w:spacing w:val="-6"/>
        </w:rPr>
        <w:t xml:space="preserve"> </w:t>
      </w:r>
      <w:r w:rsidR="00937220">
        <w:t>the</w:t>
      </w:r>
      <w:r w:rsidR="00937220">
        <w:rPr>
          <w:spacing w:val="-6"/>
        </w:rPr>
        <w:t xml:space="preserve"> </w:t>
      </w:r>
      <w:r w:rsidR="00937220">
        <w:t>Corporation,</w:t>
      </w:r>
      <w:r w:rsidR="00937220">
        <w:rPr>
          <w:spacing w:val="-5"/>
        </w:rPr>
        <w:t xml:space="preserve"> </w:t>
      </w:r>
      <w:r w:rsidR="00937220">
        <w:t>at</w:t>
      </w:r>
      <w:r w:rsidR="00937220">
        <w:rPr>
          <w:spacing w:val="-5"/>
        </w:rPr>
        <w:t xml:space="preserve"> </w:t>
      </w:r>
      <w:r w:rsidR="00937220">
        <w:t>any</w:t>
      </w:r>
      <w:r w:rsidR="00937220">
        <w:rPr>
          <w:spacing w:val="-6"/>
        </w:rPr>
        <w:t xml:space="preserve"> </w:t>
      </w:r>
      <w:r w:rsidR="00937220">
        <w:t>and all meetings, regular or special, of the stockholders of the Corporation, or any adjournments thereof, which may be held during said period, and to do and perform, for and on behalf of Grantor, such acts as may be necessary or appropriate in the premises.</w:t>
      </w:r>
    </w:p>
    <w:p w14:paraId="4AD6F0A7" w14:textId="77777777" w:rsidR="00937220" w:rsidRDefault="00937220" w:rsidP="00937220">
      <w:pPr>
        <w:pStyle w:val="BodyText"/>
        <w:spacing w:before="1"/>
        <w:rPr>
          <w:sz w:val="22"/>
        </w:rPr>
      </w:pPr>
    </w:p>
    <w:p w14:paraId="32DB26B0" w14:textId="77777777" w:rsidR="00937220" w:rsidRDefault="00937220" w:rsidP="00E8140F">
      <w:pPr>
        <w:ind w:left="268" w:right="381" w:firstLine="452"/>
        <w:jc w:val="both"/>
      </w:pPr>
      <w:r>
        <w:t>This Proxy is coupled with an interest and shall, accordingly, be irrevocable during its term</w:t>
      </w:r>
      <w:r>
        <w:rPr>
          <w:spacing w:val="-12"/>
        </w:rPr>
        <w:t xml:space="preserve"> </w:t>
      </w:r>
      <w:r>
        <w:t>and</w:t>
      </w:r>
      <w:r>
        <w:rPr>
          <w:spacing w:val="-12"/>
        </w:rPr>
        <w:t xml:space="preserve"> </w:t>
      </w:r>
      <w:r>
        <w:t>shall</w:t>
      </w:r>
      <w:r>
        <w:rPr>
          <w:spacing w:val="-12"/>
        </w:rPr>
        <w:t xml:space="preserve"> </w:t>
      </w:r>
      <w:r>
        <w:t>be</w:t>
      </w:r>
      <w:r>
        <w:rPr>
          <w:spacing w:val="-12"/>
        </w:rPr>
        <w:t xml:space="preserve"> </w:t>
      </w:r>
      <w:r>
        <w:t>in</w:t>
      </w:r>
      <w:r>
        <w:rPr>
          <w:spacing w:val="-12"/>
        </w:rPr>
        <w:t xml:space="preserve"> </w:t>
      </w:r>
      <w:r>
        <w:t>no</w:t>
      </w:r>
      <w:r>
        <w:rPr>
          <w:spacing w:val="-12"/>
        </w:rPr>
        <w:t xml:space="preserve"> </w:t>
      </w:r>
      <w:r>
        <w:t>way</w:t>
      </w:r>
      <w:r>
        <w:rPr>
          <w:spacing w:val="-12"/>
        </w:rPr>
        <w:t xml:space="preserve"> </w:t>
      </w:r>
      <w:r>
        <w:t>limited,</w:t>
      </w:r>
      <w:r>
        <w:rPr>
          <w:spacing w:val="-12"/>
        </w:rPr>
        <w:t xml:space="preserve"> </w:t>
      </w:r>
      <w:r>
        <w:t>suspended</w:t>
      </w:r>
      <w:r>
        <w:rPr>
          <w:spacing w:val="-12"/>
        </w:rPr>
        <w:t xml:space="preserve"> </w:t>
      </w:r>
      <w:r>
        <w:t>or</w:t>
      </w:r>
      <w:r>
        <w:rPr>
          <w:spacing w:val="-12"/>
        </w:rPr>
        <w:t xml:space="preserve"> </w:t>
      </w:r>
      <w:r>
        <w:t>revoked</w:t>
      </w:r>
      <w:r>
        <w:rPr>
          <w:spacing w:val="-12"/>
        </w:rPr>
        <w:t xml:space="preserve"> </w:t>
      </w:r>
      <w:r>
        <w:t>by</w:t>
      </w:r>
      <w:r>
        <w:rPr>
          <w:spacing w:val="-12"/>
        </w:rPr>
        <w:t xml:space="preserve"> </w:t>
      </w:r>
      <w:r>
        <w:t>the</w:t>
      </w:r>
      <w:r>
        <w:rPr>
          <w:spacing w:val="-12"/>
        </w:rPr>
        <w:t xml:space="preserve"> </w:t>
      </w:r>
      <w:r>
        <w:t>presence</w:t>
      </w:r>
      <w:r>
        <w:rPr>
          <w:spacing w:val="-12"/>
        </w:rPr>
        <w:t xml:space="preserve"> </w:t>
      </w:r>
      <w:r>
        <w:t>of</w:t>
      </w:r>
      <w:r>
        <w:rPr>
          <w:spacing w:val="-12"/>
        </w:rPr>
        <w:t xml:space="preserve"> </w:t>
      </w:r>
      <w:r>
        <w:t>the</w:t>
      </w:r>
      <w:r>
        <w:rPr>
          <w:spacing w:val="-8"/>
        </w:rPr>
        <w:t xml:space="preserve"> </w:t>
      </w:r>
      <w:r>
        <w:t xml:space="preserve">undersigned or by its representative, at any and all meetings, regular or special, of the stockholders of the </w:t>
      </w:r>
      <w:r>
        <w:rPr>
          <w:spacing w:val="-2"/>
        </w:rPr>
        <w:t>Corporation.</w:t>
      </w:r>
    </w:p>
    <w:p w14:paraId="1C67F69F" w14:textId="77777777" w:rsidR="00937220" w:rsidRDefault="00937220" w:rsidP="00937220">
      <w:pPr>
        <w:pStyle w:val="BodyText"/>
        <w:spacing w:before="9"/>
        <w:rPr>
          <w:sz w:val="21"/>
        </w:rPr>
      </w:pPr>
    </w:p>
    <w:p w14:paraId="596417B1" w14:textId="46EF3392" w:rsidR="00AF4676" w:rsidRDefault="00937220" w:rsidP="00AF4676">
      <w:pPr>
        <w:ind w:firstLine="720"/>
        <w:jc w:val="both"/>
        <w:rPr>
          <w:spacing w:val="27"/>
        </w:rPr>
      </w:pPr>
      <w:r>
        <w:t>IN</w:t>
      </w:r>
      <w:r>
        <w:rPr>
          <w:spacing w:val="26"/>
        </w:rPr>
        <w:t xml:space="preserve"> </w:t>
      </w:r>
      <w:r>
        <w:t>WITNESS</w:t>
      </w:r>
      <w:r>
        <w:rPr>
          <w:spacing w:val="27"/>
        </w:rPr>
        <w:t xml:space="preserve"> </w:t>
      </w:r>
      <w:r>
        <w:t>WHEREOF,</w:t>
      </w:r>
      <w:r>
        <w:rPr>
          <w:spacing w:val="27"/>
        </w:rPr>
        <w:t xml:space="preserve"> </w:t>
      </w:r>
      <w:r>
        <w:t>the</w:t>
      </w:r>
      <w:r>
        <w:rPr>
          <w:spacing w:val="27"/>
        </w:rPr>
        <w:t xml:space="preserve"> </w:t>
      </w:r>
      <w:r>
        <w:t>undersigned</w:t>
      </w:r>
      <w:r>
        <w:rPr>
          <w:spacing w:val="26"/>
        </w:rPr>
        <w:t xml:space="preserve"> </w:t>
      </w:r>
      <w:r>
        <w:t>has</w:t>
      </w:r>
      <w:r>
        <w:rPr>
          <w:spacing w:val="27"/>
        </w:rPr>
        <w:t xml:space="preserve"> </w:t>
      </w:r>
      <w:r>
        <w:t>executed</w:t>
      </w:r>
      <w:r>
        <w:rPr>
          <w:spacing w:val="27"/>
        </w:rPr>
        <w:t xml:space="preserve"> </w:t>
      </w:r>
      <w:r>
        <w:t>this</w:t>
      </w:r>
      <w:r>
        <w:rPr>
          <w:spacing w:val="27"/>
        </w:rPr>
        <w:t xml:space="preserve"> </w:t>
      </w:r>
      <w:r>
        <w:t>Proxy</w:t>
      </w:r>
      <w:r>
        <w:rPr>
          <w:spacing w:val="27"/>
        </w:rPr>
        <w:t xml:space="preserve"> </w:t>
      </w:r>
      <w:r>
        <w:t>this</w:t>
      </w:r>
      <w:r>
        <w:rPr>
          <w:spacing w:val="26"/>
        </w:rPr>
        <w:t xml:space="preserve"> </w:t>
      </w:r>
      <w:r w:rsidR="00836F81">
        <w:t>__</w:t>
      </w:r>
      <w:r>
        <w:rPr>
          <w:rFonts w:ascii="Times New Roman"/>
          <w:spacing w:val="33"/>
        </w:rPr>
        <w:t xml:space="preserve"> </w:t>
      </w:r>
      <w:r>
        <w:t>day</w:t>
      </w:r>
      <w:r>
        <w:rPr>
          <w:spacing w:val="27"/>
        </w:rPr>
        <w:t xml:space="preserve"> </w:t>
      </w:r>
    </w:p>
    <w:p w14:paraId="7CBCDA28" w14:textId="4363997F" w:rsidR="00937220" w:rsidRDefault="00AF4676" w:rsidP="00AF4676">
      <w:pPr>
        <w:jc w:val="both"/>
      </w:pPr>
      <w:r>
        <w:rPr>
          <w:spacing w:val="-5"/>
        </w:rPr>
        <w:t xml:space="preserve">    o</w:t>
      </w:r>
      <w:r w:rsidR="00937220">
        <w:rPr>
          <w:spacing w:val="-5"/>
        </w:rPr>
        <w:t>f</w:t>
      </w:r>
      <w:r>
        <w:t xml:space="preserve"> </w:t>
      </w:r>
      <w:r w:rsidR="00836F81">
        <w:rPr>
          <w:rFonts w:ascii="Arial" w:hAnsi="Arial" w:cs="Arial"/>
          <w:u w:val="single"/>
        </w:rPr>
        <w:t>__________</w:t>
      </w:r>
      <w:r w:rsidR="00937220" w:rsidRPr="00F44EAC">
        <w:rPr>
          <w:rFonts w:ascii="Arial" w:hAnsi="Arial" w:cs="Arial"/>
        </w:rPr>
        <w:t xml:space="preserve"> </w:t>
      </w:r>
      <w:r w:rsidR="00937220">
        <w:t xml:space="preserve">2023 at </w:t>
      </w:r>
      <w:r w:rsidR="00F44EAC" w:rsidRPr="00F44EAC">
        <w:rPr>
          <w:rFonts w:ascii="Arial" w:hAnsi="Arial" w:cs="Arial"/>
        </w:rPr>
        <w:t>Makati</w:t>
      </w:r>
      <w:r w:rsidR="00937220" w:rsidRPr="00F44EAC">
        <w:rPr>
          <w:rFonts w:ascii="Arial" w:hAnsi="Arial" w:cs="Arial"/>
        </w:rPr>
        <w:t xml:space="preserve"> </w:t>
      </w:r>
      <w:r w:rsidR="00937220">
        <w:t>City, Metro Manila, Philippines.</w:t>
      </w:r>
    </w:p>
    <w:p w14:paraId="740A1C0D" w14:textId="77777777" w:rsidR="00937220" w:rsidRDefault="00937220" w:rsidP="00AF4676">
      <w:pPr>
        <w:pStyle w:val="BodyText"/>
        <w:jc w:val="both"/>
        <w:rPr>
          <w:sz w:val="24"/>
        </w:rPr>
      </w:pPr>
    </w:p>
    <w:p w14:paraId="42E311BD" w14:textId="77777777" w:rsidR="00937220" w:rsidRDefault="00937220" w:rsidP="00937220">
      <w:pPr>
        <w:pStyle w:val="BodyText"/>
        <w:rPr>
          <w:sz w:val="24"/>
        </w:rPr>
      </w:pPr>
    </w:p>
    <w:p w14:paraId="1C2C529C" w14:textId="77777777" w:rsidR="00937220" w:rsidRDefault="00937220" w:rsidP="00937220">
      <w:pPr>
        <w:pStyle w:val="BodyText"/>
        <w:rPr>
          <w:sz w:val="24"/>
        </w:rPr>
      </w:pPr>
    </w:p>
    <w:p w14:paraId="6B69E111" w14:textId="77777777" w:rsidR="00937220" w:rsidRDefault="00937220" w:rsidP="00937220">
      <w:pPr>
        <w:pStyle w:val="BodyText"/>
        <w:rPr>
          <w:sz w:val="24"/>
        </w:rPr>
      </w:pPr>
    </w:p>
    <w:p w14:paraId="522E07FE" w14:textId="77777777" w:rsidR="00207E38" w:rsidRDefault="00207E38" w:rsidP="00E8140F">
      <w:pPr>
        <w:spacing w:before="1" w:line="269" w:lineRule="exact"/>
        <w:ind w:left="3023" w:right="2184" w:firstLine="577"/>
      </w:pPr>
      <w:r w:rsidRPr="00207E38">
        <w:rPr>
          <w:rFonts w:ascii="Arial" w:hAnsi="Arial"/>
          <w:b/>
          <w:color w:val="FF0000"/>
        </w:rPr>
        <w:t xml:space="preserve">Juan </w:t>
      </w:r>
      <w:proofErr w:type="spellStart"/>
      <w:r w:rsidRPr="00207E38">
        <w:rPr>
          <w:rFonts w:ascii="Arial" w:hAnsi="Arial"/>
          <w:b/>
          <w:color w:val="FF0000"/>
        </w:rPr>
        <w:t>Dela</w:t>
      </w:r>
      <w:proofErr w:type="spellEnd"/>
      <w:r w:rsidRPr="00207E38">
        <w:rPr>
          <w:rFonts w:ascii="Arial" w:hAnsi="Arial"/>
          <w:b/>
          <w:color w:val="FF0000"/>
        </w:rPr>
        <w:t xml:space="preserve"> Cruz</w:t>
      </w:r>
      <w:r>
        <w:t xml:space="preserve"> </w:t>
      </w:r>
    </w:p>
    <w:p w14:paraId="1E0A2886" w14:textId="73A524F9" w:rsidR="00937220" w:rsidRDefault="00937220" w:rsidP="00E8140F">
      <w:pPr>
        <w:spacing w:before="1" w:line="269" w:lineRule="exact"/>
        <w:ind w:left="3023" w:right="2184" w:firstLine="577"/>
      </w:pPr>
      <w:r>
        <w:t>TIN:</w:t>
      </w:r>
      <w:r>
        <w:rPr>
          <w:spacing w:val="-4"/>
        </w:rPr>
        <w:t xml:space="preserve"> </w:t>
      </w:r>
      <w:bookmarkStart w:id="0" w:name="_GoBack"/>
      <w:r w:rsidR="00207E38" w:rsidRPr="00207E38">
        <w:rPr>
          <w:color w:val="FF0000"/>
          <w:spacing w:val="-4"/>
        </w:rPr>
        <w:t>123-456-789</w:t>
      </w:r>
      <w:bookmarkEnd w:id="0"/>
    </w:p>
    <w:p w14:paraId="06C15A20" w14:textId="77777777" w:rsidR="00937220" w:rsidRDefault="00937220" w:rsidP="00937220">
      <w:pPr>
        <w:ind w:left="2303" w:right="2184"/>
        <w:jc w:val="center"/>
      </w:pPr>
      <w:r>
        <w:rPr>
          <w:spacing w:val="-2"/>
        </w:rPr>
        <w:t>Seller</w:t>
      </w:r>
    </w:p>
    <w:p w14:paraId="42AB2F01" w14:textId="77777777" w:rsidR="00937220" w:rsidRDefault="00937220" w:rsidP="00937220">
      <w:pPr>
        <w:pStyle w:val="BodyText"/>
        <w:spacing w:before="4"/>
        <w:rPr>
          <w:sz w:val="22"/>
        </w:rPr>
      </w:pPr>
    </w:p>
    <w:p w14:paraId="73B0EDCE" w14:textId="77777777" w:rsidR="000D5BB4" w:rsidRDefault="000D5BB4"/>
    <w:sectPr w:rsidR="000D5BB4" w:rsidSect="00937220">
      <w:pgSz w:w="11910" w:h="16840" w:code="9"/>
      <w:pgMar w:top="1440" w:right="1440" w:bottom="1440" w:left="1440"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20"/>
    <w:rsid w:val="000D5BB4"/>
    <w:rsid w:val="00183C52"/>
    <w:rsid w:val="00207E38"/>
    <w:rsid w:val="003606B3"/>
    <w:rsid w:val="006A088B"/>
    <w:rsid w:val="00836F81"/>
    <w:rsid w:val="00930DA3"/>
    <w:rsid w:val="00937220"/>
    <w:rsid w:val="00A91EDE"/>
    <w:rsid w:val="00AF4676"/>
    <w:rsid w:val="00E8140F"/>
    <w:rsid w:val="00F44EAC"/>
    <w:rsid w:val="00F54025"/>
    <w:rsid w:val="00FF73C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01B1"/>
  <w15:chartTrackingRefBased/>
  <w15:docId w15:val="{6A69F97B-7C54-463D-8BA8-78857CC2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220"/>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link w:val="Heading1Char"/>
    <w:uiPriority w:val="9"/>
    <w:qFormat/>
    <w:rsid w:val="00937220"/>
    <w:pPr>
      <w:jc w:val="center"/>
      <w:outlineLvl w:val="0"/>
    </w:pPr>
    <w:rPr>
      <w:rFonts w:ascii="Arial" w:eastAsia="Arial" w:hAnsi="Arial" w:cs="Arial"/>
      <w:b/>
      <w:bCs/>
    </w:rPr>
  </w:style>
  <w:style w:type="paragraph" w:styleId="Heading2">
    <w:name w:val="heading 2"/>
    <w:basedOn w:val="Normal"/>
    <w:link w:val="Heading2Char"/>
    <w:uiPriority w:val="9"/>
    <w:unhideWhenUsed/>
    <w:qFormat/>
    <w:rsid w:val="00937220"/>
    <w:pPr>
      <w:spacing w:before="78"/>
      <w:jc w:val="right"/>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220"/>
    <w:rPr>
      <w:rFonts w:ascii="Arial" w:eastAsia="Arial" w:hAnsi="Arial" w:cs="Arial"/>
      <w:b/>
      <w:bCs/>
      <w:kern w:val="0"/>
      <w:lang w:val="en-US"/>
      <w14:ligatures w14:val="none"/>
    </w:rPr>
  </w:style>
  <w:style w:type="character" w:customStyle="1" w:styleId="Heading2Char">
    <w:name w:val="Heading 2 Char"/>
    <w:basedOn w:val="DefaultParagraphFont"/>
    <w:link w:val="Heading2"/>
    <w:uiPriority w:val="9"/>
    <w:rsid w:val="00937220"/>
    <w:rPr>
      <w:rFonts w:ascii="Arial" w:eastAsia="Arial" w:hAnsi="Arial" w:cs="Arial"/>
      <w:b/>
      <w:bCs/>
      <w:kern w:val="0"/>
      <w:lang w:val="en-US"/>
      <w14:ligatures w14:val="none"/>
    </w:rPr>
  </w:style>
  <w:style w:type="paragraph" w:styleId="BodyText">
    <w:name w:val="Body Text"/>
    <w:basedOn w:val="Normal"/>
    <w:link w:val="BodyTextChar"/>
    <w:uiPriority w:val="1"/>
    <w:qFormat/>
    <w:rsid w:val="00937220"/>
    <w:rPr>
      <w:sz w:val="20"/>
      <w:szCs w:val="20"/>
    </w:rPr>
  </w:style>
  <w:style w:type="character" w:customStyle="1" w:styleId="BodyTextChar">
    <w:name w:val="Body Text Char"/>
    <w:basedOn w:val="DefaultParagraphFont"/>
    <w:link w:val="BodyText"/>
    <w:uiPriority w:val="1"/>
    <w:rsid w:val="00937220"/>
    <w:rPr>
      <w:rFonts w:ascii="Arial MT" w:eastAsia="Arial MT" w:hAnsi="Arial MT" w:cs="Arial MT"/>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B8EAE-FF41-41BA-BBA8-3A10593A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Divina G. Klotz</cp:lastModifiedBy>
  <cp:revision>2</cp:revision>
  <cp:lastPrinted>2023-08-02T04:24:00Z</cp:lastPrinted>
  <dcterms:created xsi:type="dcterms:W3CDTF">2023-08-07T04:57:00Z</dcterms:created>
  <dcterms:modified xsi:type="dcterms:W3CDTF">2023-08-07T04:57:00Z</dcterms:modified>
</cp:coreProperties>
</file>